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26A8" w14:textId="77777777" w:rsidR="001F7DED" w:rsidRDefault="006A767E">
      <w:pPr>
        <w:spacing w:after="0" w:line="239" w:lineRule="auto"/>
        <w:ind w:left="74" w:firstLine="0"/>
      </w:pPr>
      <w:r>
        <w:rPr>
          <w:sz w:val="56"/>
        </w:rPr>
        <w:t xml:space="preserve">Lifespan Perspectives: Exploring the Phases of Life from Birth to Death </w:t>
      </w:r>
      <w:r>
        <w:t xml:space="preserve"> </w:t>
      </w:r>
    </w:p>
    <w:p w14:paraId="03C2F321" w14:textId="77777777" w:rsidR="00212AB9" w:rsidRDefault="00212AB9" w:rsidP="00212AB9">
      <w:pPr>
        <w:spacing w:after="30" w:line="248" w:lineRule="auto"/>
        <w:ind w:left="0" w:firstLine="0"/>
        <w:rPr>
          <w:sz w:val="20"/>
        </w:rPr>
      </w:pPr>
    </w:p>
    <w:p w14:paraId="69A0C9B4" w14:textId="6FE37316" w:rsidR="001F7DED" w:rsidRPr="00212AB9" w:rsidRDefault="006A767E" w:rsidP="00212AB9">
      <w:pPr>
        <w:spacing w:after="30" w:line="248" w:lineRule="auto"/>
        <w:ind w:left="0" w:firstLine="0"/>
        <w:rPr>
          <w:sz w:val="28"/>
          <w:szCs w:val="24"/>
        </w:rPr>
      </w:pPr>
      <w:r w:rsidRPr="00212AB9">
        <w:rPr>
          <w:sz w:val="22"/>
          <w:szCs w:val="24"/>
        </w:rPr>
        <w:t xml:space="preserve"> SAYMA NASRIN  </w:t>
      </w:r>
    </w:p>
    <w:p w14:paraId="1DA9A1D3" w14:textId="77777777" w:rsidR="00D92573" w:rsidRPr="00212AB9" w:rsidRDefault="006A767E">
      <w:pPr>
        <w:pStyle w:val="Heading1"/>
        <w:numPr>
          <w:ilvl w:val="0"/>
          <w:numId w:val="0"/>
        </w:numPr>
        <w:spacing w:after="0" w:line="259" w:lineRule="auto"/>
        <w:ind w:left="14"/>
        <w:rPr>
          <w:color w:val="000000"/>
          <w:sz w:val="20"/>
          <w:szCs w:val="24"/>
        </w:rPr>
      </w:pPr>
      <w:r w:rsidRPr="00212AB9">
        <w:rPr>
          <w:color w:val="000000"/>
          <w:sz w:val="20"/>
          <w:szCs w:val="24"/>
        </w:rPr>
        <w:t xml:space="preserve"> COMPUTER SCIENCE AND ENGINEERING</w:t>
      </w:r>
    </w:p>
    <w:p w14:paraId="5866F3F4" w14:textId="53D1B5A6" w:rsidR="001F7DED" w:rsidRPr="00212AB9" w:rsidRDefault="00D92573">
      <w:pPr>
        <w:pStyle w:val="Heading1"/>
        <w:numPr>
          <w:ilvl w:val="0"/>
          <w:numId w:val="0"/>
        </w:numPr>
        <w:spacing w:after="0" w:line="259" w:lineRule="auto"/>
        <w:ind w:left="14"/>
        <w:rPr>
          <w:color w:val="000000"/>
          <w:sz w:val="28"/>
          <w:szCs w:val="24"/>
        </w:rPr>
      </w:pPr>
      <w:r w:rsidRPr="00212AB9">
        <w:rPr>
          <w:color w:val="000000"/>
          <w:sz w:val="20"/>
          <w:szCs w:val="24"/>
        </w:rPr>
        <w:t xml:space="preserve">  BANGLADESH, CHITTAGONG</w:t>
      </w:r>
      <w:r w:rsidR="006A767E" w:rsidRPr="00212AB9">
        <w:rPr>
          <w:color w:val="000000"/>
          <w:sz w:val="28"/>
          <w:szCs w:val="24"/>
        </w:rPr>
        <w:t xml:space="preserve"> </w:t>
      </w:r>
    </w:p>
    <w:p w14:paraId="7BCF9510" w14:textId="42A3460C" w:rsidR="00D92573" w:rsidRPr="00212AB9" w:rsidRDefault="00D92573" w:rsidP="00D92573">
      <w:pPr>
        <w:ind w:left="0" w:firstLine="0"/>
      </w:pPr>
      <w:r w:rsidRPr="00212AB9">
        <w:rPr>
          <w:sz w:val="22"/>
          <w:szCs w:val="20"/>
        </w:rPr>
        <w:t xml:space="preserve">  EMAIL: </w:t>
      </w:r>
      <w:r w:rsidRPr="00212AB9">
        <w:t>Saimanasrin453@gmaill</w:t>
      </w:r>
      <w:r w:rsidR="00212AB9" w:rsidRPr="00212AB9">
        <w:t>.com</w:t>
      </w:r>
    </w:p>
    <w:p w14:paraId="192491C6" w14:textId="5C6DD6C6" w:rsidR="00D92573" w:rsidRDefault="006A767E" w:rsidP="00D92573">
      <w:pPr>
        <w:spacing w:after="0" w:line="272" w:lineRule="auto"/>
        <w:ind w:left="60" w:right="4156" w:firstLine="0"/>
      </w:pPr>
      <w:r>
        <w:rPr>
          <w:sz w:val="16"/>
        </w:rPr>
        <w:t xml:space="preserve">                                                  </w:t>
      </w:r>
    </w:p>
    <w:p w14:paraId="3F8433EC" w14:textId="238BA8A4" w:rsidR="00D92573" w:rsidRDefault="00D92573" w:rsidP="00D92573">
      <w:pPr>
        <w:spacing w:after="0" w:line="272" w:lineRule="auto"/>
        <w:ind w:left="60" w:right="4156" w:firstLine="0"/>
      </w:pPr>
    </w:p>
    <w:p w14:paraId="2A0A77C7" w14:textId="77777777" w:rsidR="001F7DED" w:rsidRDefault="006A767E">
      <w:pPr>
        <w:spacing w:after="278"/>
        <w:ind w:firstLine="0"/>
      </w:pPr>
      <w:r>
        <w:rPr>
          <w:b/>
          <w:i/>
          <w:sz w:val="28"/>
        </w:rPr>
        <w:t>Abstract:</w:t>
      </w:r>
      <w:r>
        <w:rPr>
          <w:color w:val="0563C1"/>
          <w:u w:val="single" w:color="0563C1"/>
        </w:rPr>
        <w:t xml:space="preserve"> </w:t>
      </w:r>
      <w:r>
        <w:rPr>
          <w:i/>
        </w:rPr>
        <w:t>Exploring the Phases of Life from Birth to Death</w:t>
      </w:r>
      <w:r>
        <w:t xml:space="preserve">, provides a comprehensive analysis of the human experience through the lens of lifespan development. It examines the physical, cognitive, emotional, and social transformations that occur across the various stages of life, from infancy and childhood to adolescence, adulthood, and old age. By integrating insights from developmental psychology, sociology, and biology, this work explores the intricate interplay of nature and nurture in shaping individual trajectories. </w:t>
      </w:r>
    </w:p>
    <w:p w14:paraId="6EA1E5E5" w14:textId="77777777" w:rsidR="001F7DED" w:rsidRDefault="006A767E">
      <w:pPr>
        <w:spacing w:after="279"/>
        <w:ind w:firstLine="0"/>
      </w:pPr>
      <w:r>
        <w:t xml:space="preserve">The study also highlights the impact of cultural, historical, and environmental factors on developmental milestones and transitions. Special attention is given to critical life events, resilience, and the variability in aging experiences. The research underscores the importance of understanding lifespan development to promote well-being, foster healthy relationships, and support adaptive aging. Ultimately, this paper seeks to contribute to the broader discourse on human growth and adaptation, offering valuable insights for educators, policymakers, healthcare professionals, and anyone seeking a deeper understanding of the human condition. </w:t>
      </w:r>
    </w:p>
    <w:p w14:paraId="53FD6728" w14:textId="77777777" w:rsidR="001F7DED" w:rsidRDefault="006A767E">
      <w:pPr>
        <w:ind w:left="84" w:hanging="10"/>
      </w:pPr>
      <w:r>
        <w:rPr>
          <w:b/>
        </w:rPr>
        <w:t>Index Terms</w:t>
      </w:r>
      <w:r>
        <w:t>: Lifespan development, birth, childhood, adolescence, adulthood, aging, end-of-life, developmental stages, human growth, life transitions, psychological development, biological changes, social influences, health and wellness, death and dying, existential perspectives, cultural practices, lifespan theory, developmental psychology.</w:t>
      </w:r>
      <w:r>
        <w:rPr>
          <w:b/>
          <w:sz w:val="28"/>
        </w:rPr>
        <w:t xml:space="preserve"> </w:t>
      </w:r>
    </w:p>
    <w:p w14:paraId="3B6B4D69" w14:textId="77777777" w:rsidR="001F7DED" w:rsidRDefault="006A767E">
      <w:pPr>
        <w:pStyle w:val="Heading1"/>
        <w:ind w:left="355" w:hanging="360"/>
      </w:pPr>
      <w:r>
        <w:t xml:space="preserve">Introduction  </w:t>
      </w:r>
    </w:p>
    <w:p w14:paraId="1E8593DB" w14:textId="77777777" w:rsidR="001F7DED" w:rsidRDefault="006A767E">
      <w:pPr>
        <w:ind w:left="405"/>
      </w:pPr>
      <w:r>
        <w:t>Understanding the human lifespan is a multifaceted endeavor that encapsulates a range of biological, psychological, and social changes occurring from birth to death. This exploration is crucial, as each phase of life—infancy, childhood, adolescence, adulthood, and late adulthood—offers unique developmental challenges and milestones that shape individual identity and societal roles. A lifespan perspective encourages a holistic view, recognizing that development is not static but rather a continuous and dynamic process influenced by various factors such as culture, environment, and personal experiences. By examining each stage in detail, we can better appreciate the intricate interplay between growth and aging, as well as the significance of lifelong learning and adaptation. This essay aims to delve into these phases, illuminating how human experiences are interconnected and highlighting the complexities that define our existence across the lifespan.</w:t>
      </w:r>
      <w:r>
        <w:rPr>
          <w:sz w:val="20"/>
        </w:rPr>
        <w:t xml:space="preserve"> </w:t>
      </w:r>
      <w:r>
        <w:t xml:space="preserve"> </w:t>
      </w:r>
    </w:p>
    <w:p w14:paraId="058602D1" w14:textId="77777777" w:rsidR="001F7DED" w:rsidRDefault="006A767E">
      <w:pPr>
        <w:pStyle w:val="Heading1"/>
        <w:numPr>
          <w:ilvl w:val="0"/>
          <w:numId w:val="0"/>
        </w:numPr>
        <w:ind w:left="674" w:hanging="360"/>
      </w:pPr>
      <w:r>
        <w:rPr>
          <w:sz w:val="26"/>
        </w:rPr>
        <w:t>A.</w:t>
      </w:r>
      <w:r>
        <w:rPr>
          <w:rFonts w:ascii="Arial" w:eastAsia="Arial" w:hAnsi="Arial" w:cs="Arial"/>
          <w:sz w:val="26"/>
        </w:rPr>
        <w:t xml:space="preserve"> </w:t>
      </w:r>
      <w:r>
        <w:t>Overview of lifespan development and its significance in understanding human growth</w:t>
      </w:r>
      <w:r>
        <w:rPr>
          <w:sz w:val="26"/>
        </w:rPr>
        <w:t xml:space="preserve"> </w:t>
      </w:r>
      <w:r>
        <w:t xml:space="preserve"> </w:t>
      </w:r>
    </w:p>
    <w:p w14:paraId="0126BFA1" w14:textId="77777777" w:rsidR="001F7DED" w:rsidRDefault="006A767E">
      <w:pPr>
        <w:ind w:left="795"/>
      </w:pPr>
      <w:r>
        <w:t xml:space="preserve">Lifespan development is a comprehensive framework that examines the myriad changes individuals undergo from birth to death, encompassing physical, cognitive, emotional, and social growth. This multidisciplinary approach is crucial for understanding human growth, as it acknowledges that development is influenced by a complex interplay of biological, environmental, and cultural factors throughout various life stages. For instance, research has highlighted that </w:t>
      </w:r>
      <w:r>
        <w:lastRenderedPageBreak/>
        <w:t>neonatal mortality rates, particularly in low-income countries, reflect critical development factors, such as maternal health and access to prenatal care, emphasizing the importance of these early years in shaping future health outcomes ((</w:t>
      </w:r>
      <w:proofErr w:type="spellStart"/>
      <w:proofErr w:type="gramStart"/>
      <w:r>
        <w:t>N.Wakgari</w:t>
      </w:r>
      <w:proofErr w:type="spellEnd"/>
      <w:proofErr w:type="gramEnd"/>
      <w:r>
        <w:t xml:space="preserve"> et al.)). Furthermore, lifespan development underscores the concept of plasticity, suggesting that the potential for growth and change exists throughout life, allowing individuals to adapt and thrive despite challenges. Thus, a detailed understanding of lifespan development provides vital insights that inform health policies and educational practices aimed at enhancing human welfare across all stages of life ((S. Fadda et al.)).</w:t>
      </w:r>
      <w:r>
        <w:rPr>
          <w:sz w:val="20"/>
        </w:rPr>
        <w:t xml:space="preserve"> </w:t>
      </w:r>
      <w:r>
        <w:t xml:space="preserve"> </w:t>
      </w:r>
    </w:p>
    <w:p w14:paraId="469243B4" w14:textId="77777777" w:rsidR="001F7DED" w:rsidRDefault="006A767E">
      <w:pPr>
        <w:pStyle w:val="Heading1"/>
        <w:ind w:left="355" w:hanging="360"/>
      </w:pPr>
      <w:r>
        <w:t xml:space="preserve">Early Life Stages  </w:t>
      </w:r>
    </w:p>
    <w:p w14:paraId="743C1D6A" w14:textId="77777777" w:rsidR="001F7DED" w:rsidRDefault="006A767E">
      <w:pPr>
        <w:spacing w:after="0"/>
        <w:ind w:left="405"/>
      </w:pPr>
      <w:r>
        <w:t xml:space="preserve">The early life stages, encompassing birth, infancy, and toddlerhood, represent critical periods of development that lay the foundation for emotional, cognitive, and social growth. During infancy, infants develop essential reflexes and begin to form attachment bonds, which significantly influence their later relationships and emotional </w:t>
      </w:r>
      <w:proofErr w:type="gramStart"/>
      <w:r>
        <w:t>health .</w:t>
      </w:r>
      <w:proofErr w:type="gramEnd"/>
      <w:r>
        <w:t xml:space="preserve"> This attachment is crucial as it shapes their understanding of trust and safety in relationships. Throughout toddlerhood, children begin to exhibit motor skills and engage in the sensorimotor period, facilitating exploration and interaction with their environment (A. Gagnon, p. 1- </w:t>
      </w:r>
    </w:p>
    <w:p w14:paraId="41416CAF" w14:textId="77777777" w:rsidR="001F7DED" w:rsidRDefault="006A767E">
      <w:pPr>
        <w:ind w:left="405" w:firstLine="0"/>
      </w:pPr>
      <w:r>
        <w:t>7). These early experiences are essential, as they prepare children for the complexities of later developmental stages, guiding their socialization and learning. Historically, many individuals did not survive past these early years due to crises such as disease and famine, underlining the importance of understanding and supporting healthy development during this vulnerable phase (A. Gagnon, p. 1-7).</w:t>
      </w:r>
      <w:r>
        <w:rPr>
          <w:sz w:val="20"/>
        </w:rPr>
        <w:t xml:space="preserve"> </w:t>
      </w:r>
      <w:r>
        <w:t xml:space="preserve"> </w:t>
      </w:r>
    </w:p>
    <w:p w14:paraId="05F3551D" w14:textId="77777777" w:rsidR="001F7DED" w:rsidRDefault="006A767E">
      <w:pPr>
        <w:pStyle w:val="Heading1"/>
        <w:numPr>
          <w:ilvl w:val="0"/>
          <w:numId w:val="0"/>
        </w:numPr>
        <w:ind w:left="334"/>
      </w:pPr>
      <w:r>
        <w:rPr>
          <w:sz w:val="26"/>
        </w:rPr>
        <w:t>A.</w:t>
      </w:r>
      <w:r>
        <w:rPr>
          <w:rFonts w:ascii="Arial" w:eastAsia="Arial" w:hAnsi="Arial" w:cs="Arial"/>
          <w:sz w:val="26"/>
        </w:rPr>
        <w:t xml:space="preserve"> </w:t>
      </w:r>
      <w:r>
        <w:t>Key developmental milestones from infancy to early childhood</w:t>
      </w:r>
      <w:r>
        <w:rPr>
          <w:sz w:val="26"/>
        </w:rPr>
        <w:t xml:space="preserve"> </w:t>
      </w:r>
      <w:r>
        <w:t xml:space="preserve"> </w:t>
      </w:r>
    </w:p>
    <w:p w14:paraId="6314DD59" w14:textId="77777777" w:rsidR="001F7DED" w:rsidRDefault="006A767E">
      <w:pPr>
        <w:ind w:left="795"/>
      </w:pPr>
      <w:r>
        <w:t>During the transition from infancy to early childhood, children experience significant developmental milestones that lay the groundwork for future growth. Infants typically reach pivotal physical milestones, such as crawling and walking, by around 12 months, which is crucial for fostering independence and self-exploration. Cognitive development also accelerates in this phase, highlighted by dramatic advancements in language acquisition; by age two, many children can form simple sentences, enhancing their ability to communicate needs and desires. Social skills begin to flourish as toddlers engage in parallel play, gradually learning to share and cooperate with peers. These milestones are not only essential in their own right but also interconnect, supporting a holistic approach to child development. Understanding these critical stages provides insights into the complexities of early life, emphasizing the importance of nurturing environments in promoting optimal growth ((Erin E. Neil et al., p. 194-203); (Sam E. Gary et al., p. 107-118)).</w:t>
      </w:r>
      <w:r>
        <w:rPr>
          <w:sz w:val="20"/>
        </w:rPr>
        <w:t xml:space="preserve"> </w:t>
      </w:r>
      <w:r>
        <w:t xml:space="preserve"> </w:t>
      </w:r>
    </w:p>
    <w:p w14:paraId="327C98CB" w14:textId="77777777" w:rsidR="001F7DED" w:rsidRDefault="006A767E">
      <w:pPr>
        <w:pStyle w:val="Heading1"/>
        <w:ind w:left="775" w:hanging="780"/>
      </w:pPr>
      <w:r>
        <w:t xml:space="preserve">Middle and Late Adulthood  </w:t>
      </w:r>
    </w:p>
    <w:p w14:paraId="70FE6814" w14:textId="77777777" w:rsidR="001F7DED" w:rsidRDefault="006A767E">
      <w:pPr>
        <w:ind w:left="405"/>
      </w:pPr>
      <w:r>
        <w:t>In understanding the intricate phases of middle and late adulthood, one acknowledges that this period is characterized by significant physical, psychological, and social transformations. As individuals transition into middle adulthood, they often experience both the challenges of aging, such as diminished physical capabilities and health concerns, alongside opportunities for personal growth and fulfillment through career maturity and deeper interpersonal relationships. The psychological aspect becomes particularly salient as adults reflect on their life achievements, navigating their legacy and preparing for future transitions. By late adulthood, these reflections intensify, often accompanied by a reassessment of personal identity and life satisfaction while coping with potential cognitive decline and increased dependence. Research into the gut-brain axis highlights the importance of physiological factors, particularly in how microbial diversity diminishes with age, potentially influencing mental health conditions prevalent in this demographic (John F. Cryan et al., p. 1877-2013). Thus, the onset of various health concerns, intertwined with psychological complexity, makes this stage a pivotal phase in the human lifespan (Frédéric B. Piel et al., p. 1561-1573).</w:t>
      </w:r>
      <w:r>
        <w:rPr>
          <w:sz w:val="20"/>
        </w:rPr>
        <w:t xml:space="preserve"> </w:t>
      </w:r>
      <w:r>
        <w:t xml:space="preserve"> </w:t>
      </w:r>
    </w:p>
    <w:p w14:paraId="6AEBBA47" w14:textId="77777777" w:rsidR="001F7DED" w:rsidRDefault="006A767E">
      <w:pPr>
        <w:pStyle w:val="Heading1"/>
        <w:numPr>
          <w:ilvl w:val="0"/>
          <w:numId w:val="0"/>
        </w:numPr>
        <w:ind w:left="334"/>
      </w:pPr>
      <w:r>
        <w:rPr>
          <w:sz w:val="26"/>
        </w:rPr>
        <w:lastRenderedPageBreak/>
        <w:t>A.</w:t>
      </w:r>
      <w:r>
        <w:rPr>
          <w:rFonts w:ascii="Arial" w:eastAsia="Arial" w:hAnsi="Arial" w:cs="Arial"/>
          <w:sz w:val="26"/>
        </w:rPr>
        <w:t xml:space="preserve"> </w:t>
      </w:r>
      <w:r>
        <w:t>Psychological and social changes during middle age and aging</w:t>
      </w:r>
      <w:r>
        <w:rPr>
          <w:sz w:val="26"/>
        </w:rPr>
        <w:t xml:space="preserve"> </w:t>
      </w:r>
      <w:r>
        <w:t xml:space="preserve"> </w:t>
      </w:r>
    </w:p>
    <w:p w14:paraId="70562F19" w14:textId="77777777" w:rsidR="001F7DED" w:rsidRDefault="006A767E">
      <w:pPr>
        <w:ind w:left="795"/>
      </w:pPr>
      <w:r>
        <w:t>As individuals transition into middle age and approach late adulthood, they often undergo significant psychological and social changes that can shape their overall well-being. Research indicates that life transitions such as retirement, grandparenthood, and shifts in health typically arise around age 60, each bringing unique challenges and opportunities for personal growth ((Katja Kokko et al.)). The TRAILS study underscores the diverse responses individuals exhibit to these transitions, influenced by their life history, personality traits, and societal context, ultimately affecting their mental health. Additionally, contemporary understandings of aging challenge ageist perceptions, highlighting that many older adults maintain a high quality of life despite chronic health issues. This shift encourages a more holistic view of aging, recognizing elderly individuals as empowered agents capable of shaping their own trajectories toward healthy longevity—an approach that integrates the complexities of their lived experiences ((Francesca Morganti)). These psychological and social dynamics are pivotal in understanding the multifaceted nature of aging.</w:t>
      </w:r>
      <w:r>
        <w:rPr>
          <w:sz w:val="20"/>
        </w:rPr>
        <w:t xml:space="preserve"> </w:t>
      </w:r>
      <w:r>
        <w:t xml:space="preserve"> </w:t>
      </w:r>
    </w:p>
    <w:p w14:paraId="28C1D7B4" w14:textId="492D297C" w:rsidR="006132AB" w:rsidRPr="006132AB" w:rsidRDefault="006A767E" w:rsidP="000F4AFB">
      <w:pPr>
        <w:pStyle w:val="Heading1"/>
        <w:ind w:left="775" w:hanging="780"/>
      </w:pPr>
      <w:r>
        <w:t xml:space="preserve">Conclusion  </w:t>
      </w:r>
    </w:p>
    <w:p w14:paraId="214EC83B" w14:textId="2DF38780" w:rsidR="00747044" w:rsidRDefault="00747044" w:rsidP="00747044">
      <w:pPr>
        <w:pStyle w:val="Heading1"/>
        <w:numPr>
          <w:ilvl w:val="0"/>
          <w:numId w:val="0"/>
        </w:numPr>
        <w:rPr>
          <w:color w:val="auto"/>
          <w:sz w:val="24"/>
        </w:rPr>
      </w:pPr>
    </w:p>
    <w:p w14:paraId="6D356F45" w14:textId="77777777" w:rsidR="00747044" w:rsidRPr="00747044" w:rsidRDefault="00747044" w:rsidP="00747044">
      <w:pPr>
        <w:spacing w:before="100" w:beforeAutospacing="1" w:after="100" w:afterAutospacing="1"/>
        <w:ind w:left="0" w:firstLine="0"/>
        <w:rPr>
          <w:color w:val="auto"/>
          <w:szCs w:val="24"/>
        </w:rPr>
      </w:pPr>
      <w:r w:rsidRPr="00747044">
        <w:rPr>
          <w:color w:val="auto"/>
          <w:szCs w:val="24"/>
        </w:rPr>
        <w:t>In exploring the various phases of life, from birth to death, it becomes evident that each stage contributes uniquely to our understanding of human development. Life is a continuous journey marked by physical, cognitive, emotional, and social transformations. From the infancy that lays the foundation for later learning to the complexities of adulthood, where we navigate career, relationships, and personal growth, each phase is integral to shaping who we become.</w:t>
      </w:r>
    </w:p>
    <w:p w14:paraId="35FA925E" w14:textId="77777777" w:rsidR="00747044" w:rsidRPr="00747044" w:rsidRDefault="00747044" w:rsidP="00747044">
      <w:pPr>
        <w:spacing w:before="100" w:beforeAutospacing="1" w:after="100" w:afterAutospacing="1"/>
        <w:ind w:left="0" w:firstLine="0"/>
        <w:rPr>
          <w:color w:val="auto"/>
          <w:szCs w:val="24"/>
        </w:rPr>
      </w:pPr>
      <w:r w:rsidRPr="00747044">
        <w:rPr>
          <w:color w:val="auto"/>
          <w:szCs w:val="24"/>
        </w:rPr>
        <w:t>A lifespan perspective emphasizes the interconnectedness of these stages, recognizing that human development is a dynamic process influenced by a multitude of factors, including genetics, environment, culture, and personal experiences. The recognition of change as a constant factor allows us to appreciate the resilience and adaptability that characterize human life. Moreover, understanding the challenges and opportunities that arise at each life stage—whether in childhood, adolescence, adulthood, or old age—can guide individuals, families, and societies in fostering environments that support optimal development.</w:t>
      </w:r>
    </w:p>
    <w:p w14:paraId="68CDF3FE" w14:textId="77777777" w:rsidR="00747044" w:rsidRPr="00747044" w:rsidRDefault="00747044" w:rsidP="00747044">
      <w:pPr>
        <w:spacing w:before="100" w:beforeAutospacing="1" w:after="100" w:afterAutospacing="1"/>
        <w:ind w:left="0" w:firstLine="0"/>
        <w:rPr>
          <w:color w:val="auto"/>
          <w:szCs w:val="24"/>
        </w:rPr>
      </w:pPr>
      <w:r w:rsidRPr="00747044">
        <w:rPr>
          <w:color w:val="auto"/>
          <w:szCs w:val="24"/>
        </w:rPr>
        <w:t>Ultimately, the phases of life are not merely separate events but interwoven experiences that influence one another across time. By adopting a holistic approach to lifespan development, we can create a more compassionate and informed society, one that supports people at every stage of their lives. Through this understanding, we are better equipped to address the diverse needs of individuals and improve quality of life across the human lifespan.</w:t>
      </w:r>
    </w:p>
    <w:p w14:paraId="5BEBFCF6" w14:textId="40163AEE" w:rsidR="00C704DF" w:rsidRPr="00C704DF" w:rsidRDefault="00C704DF" w:rsidP="00C704DF"/>
    <w:p w14:paraId="1614F8B1" w14:textId="77777777" w:rsidR="001F7DED" w:rsidRDefault="006A767E">
      <w:pPr>
        <w:pStyle w:val="Heading1"/>
        <w:numPr>
          <w:ilvl w:val="0"/>
          <w:numId w:val="0"/>
        </w:numPr>
        <w:ind w:left="674" w:hanging="360"/>
      </w:pPr>
      <w:r>
        <w:rPr>
          <w:sz w:val="26"/>
        </w:rPr>
        <w:t>A.</w:t>
      </w:r>
      <w:r>
        <w:rPr>
          <w:rFonts w:ascii="Arial" w:eastAsia="Arial" w:hAnsi="Arial" w:cs="Arial"/>
          <w:sz w:val="26"/>
        </w:rPr>
        <w:t xml:space="preserve"> </w:t>
      </w:r>
      <w:r>
        <w:t>Reflection on the importance of lifespan perspectives in comprehending the human experience</w:t>
      </w:r>
      <w:r>
        <w:rPr>
          <w:sz w:val="26"/>
        </w:rPr>
        <w:t xml:space="preserve"> </w:t>
      </w:r>
      <w:r>
        <w:t xml:space="preserve"> </w:t>
      </w:r>
    </w:p>
    <w:p w14:paraId="533EE65D" w14:textId="77777777" w:rsidR="006132AB" w:rsidRDefault="006A767E">
      <w:pPr>
        <w:ind w:left="795"/>
      </w:pPr>
      <w:r>
        <w:t xml:space="preserve">Understanding lifespan perspectives is crucial for a comprehensive grasp of the human experience, as it emphasizes the dynamic interplay between biological, psychological, and social factors throughout different life stages. This holistic framework allows us to appreciate how individuals evolve and adapt from infancy through old age, highlighting the significance of context in shaping personal development. By recognizing that life is a continuous process influenced by various experiences, relationships, and sociocultural factors, we can better understand the challenges and triumphs faced at each stage. Furthermore, this perspective encourages empathy and awareness of the diverse trajectories that people may take, fostering a deeper appreciation for the complexities of human behavior and resilience. Ultimately, lifespan perspectives pave the way for a richer </w:t>
      </w:r>
      <w:r>
        <w:lastRenderedPageBreak/>
        <w:t>understanding of how past experiences inform present actions and future possibilities, reinforcing the idea that each phase of life contributes significantly to the broader narrative of human existence.</w:t>
      </w:r>
    </w:p>
    <w:p w14:paraId="78EBCA36" w14:textId="3E0203F1" w:rsidR="006132AB" w:rsidRPr="006132AB" w:rsidRDefault="006132AB" w:rsidP="006132AB">
      <w:pPr>
        <w:spacing w:before="100" w:beforeAutospacing="1" w:after="100" w:afterAutospacing="1"/>
        <w:ind w:left="0" w:firstLine="0"/>
        <w:rPr>
          <w:color w:val="auto"/>
          <w:szCs w:val="24"/>
        </w:rPr>
      </w:pPr>
      <w:r w:rsidRPr="006132AB">
        <w:rPr>
          <w:b/>
          <w:bCs/>
          <w:color w:val="auto"/>
          <w:szCs w:val="24"/>
        </w:rPr>
        <w:t>A</w:t>
      </w:r>
      <w:r w:rsidR="000F4AFB" w:rsidRPr="000F4AFB">
        <w:rPr>
          <w:b/>
          <w:bCs/>
          <w:color w:val="auto"/>
          <w:szCs w:val="24"/>
        </w:rPr>
        <w:t>CKNOWLEDGMENT</w:t>
      </w:r>
      <w:r w:rsidRPr="000F4AFB">
        <w:rPr>
          <w:b/>
          <w:bCs/>
          <w:color w:val="auto"/>
          <w:szCs w:val="24"/>
        </w:rPr>
        <w:t>:</w:t>
      </w:r>
    </w:p>
    <w:p w14:paraId="08B96E22" w14:textId="77777777" w:rsidR="006132AB" w:rsidRPr="006132AB" w:rsidRDefault="006132AB" w:rsidP="006132AB">
      <w:pPr>
        <w:spacing w:before="100" w:beforeAutospacing="1" w:after="100" w:afterAutospacing="1"/>
        <w:ind w:left="0" w:firstLine="0"/>
        <w:rPr>
          <w:color w:val="auto"/>
          <w:szCs w:val="24"/>
        </w:rPr>
      </w:pPr>
      <w:r w:rsidRPr="006132AB">
        <w:rPr>
          <w:color w:val="auto"/>
          <w:szCs w:val="24"/>
        </w:rPr>
        <w:t>I would like to express my heartfelt gratitude to all those who have supported me throughout the creation of this paper on the exploration of the phases of life. I sincerely appreciate the guidance of my professor, whose insightful feedback and encouragement were invaluable. My thanks also extend to my family and friends for their unwavering support, patience, and motivation. Lastly, I would like to acknowledge the wealth of knowledge provided by the various researchers and authors whose works contributed to my understanding of the complexities of the human lifespan.</w:t>
      </w:r>
    </w:p>
    <w:p w14:paraId="3D955107" w14:textId="23035E21" w:rsidR="001F7DED" w:rsidRDefault="006A767E">
      <w:pPr>
        <w:ind w:left="795"/>
      </w:pPr>
      <w:r>
        <w:rPr>
          <w:sz w:val="20"/>
        </w:rPr>
        <w:t xml:space="preserve"> </w:t>
      </w:r>
      <w:r>
        <w:t xml:space="preserve"> </w:t>
      </w:r>
    </w:p>
    <w:p w14:paraId="24525243" w14:textId="77777777" w:rsidR="001F7DED" w:rsidRDefault="006A767E">
      <w:pPr>
        <w:pStyle w:val="Heading1"/>
        <w:numPr>
          <w:ilvl w:val="0"/>
          <w:numId w:val="0"/>
        </w:numPr>
        <w:ind w:left="5"/>
      </w:pPr>
      <w:r>
        <w:t xml:space="preserve">References  </w:t>
      </w:r>
    </w:p>
    <w:p w14:paraId="052A8A38" w14:textId="0AE5B1D0" w:rsidR="001F7DED" w:rsidRDefault="006A767E">
      <w:pPr>
        <w:numPr>
          <w:ilvl w:val="0"/>
          <w:numId w:val="1"/>
        </w:numPr>
        <w:spacing w:after="5" w:line="248" w:lineRule="auto"/>
        <w:ind w:hanging="360"/>
      </w:pPr>
      <w:r>
        <w:rPr>
          <w:sz w:val="20"/>
        </w:rPr>
        <w:t xml:space="preserve">A. Gagnon, "Crises and trends: Mortality in historical perspective", 2013 pp. 1-7   </w:t>
      </w:r>
      <w:r>
        <w:t xml:space="preserve"> </w:t>
      </w:r>
    </w:p>
    <w:p w14:paraId="4C052A75" w14:textId="008AE4F8" w:rsidR="001F7DED" w:rsidRDefault="006A767E">
      <w:pPr>
        <w:numPr>
          <w:ilvl w:val="0"/>
          <w:numId w:val="1"/>
        </w:numPr>
        <w:spacing w:after="5" w:line="248" w:lineRule="auto"/>
        <w:ind w:hanging="360"/>
      </w:pPr>
      <w:r>
        <w:rPr>
          <w:sz w:val="20"/>
        </w:rPr>
        <w:t xml:space="preserve">D. Sattler, "Lifespan Development in Context: Voices and Perspectives", 1999  </w:t>
      </w:r>
    </w:p>
    <w:p w14:paraId="7D3AB978" w14:textId="77777777" w:rsidR="001F7DED" w:rsidRDefault="006A767E">
      <w:pPr>
        <w:numPr>
          <w:ilvl w:val="0"/>
          <w:numId w:val="1"/>
        </w:numPr>
        <w:spacing w:after="5" w:line="248" w:lineRule="auto"/>
        <w:ind w:hanging="360"/>
      </w:pPr>
      <w:proofErr w:type="spellStart"/>
      <w:proofErr w:type="gramStart"/>
      <w:r>
        <w:rPr>
          <w:sz w:val="20"/>
        </w:rPr>
        <w:t>N.Wakgari</w:t>
      </w:r>
      <w:proofErr w:type="spellEnd"/>
      <w:proofErr w:type="gramEnd"/>
      <w:r>
        <w:rPr>
          <w:sz w:val="20"/>
        </w:rPr>
        <w:t xml:space="preserve">, E. </w:t>
      </w:r>
      <w:proofErr w:type="spellStart"/>
      <w:r>
        <w:rPr>
          <w:sz w:val="20"/>
        </w:rPr>
        <w:t>Wencheko</w:t>
      </w:r>
      <w:proofErr w:type="spellEnd"/>
      <w:r>
        <w:rPr>
          <w:sz w:val="20"/>
        </w:rPr>
        <w:t xml:space="preserve">, "Risk factors of neonatal mortality in Ethiopia 195", 2015 </w:t>
      </w:r>
      <w:r>
        <w:t xml:space="preserve"> </w:t>
      </w:r>
    </w:p>
    <w:p w14:paraId="436D3322" w14:textId="289CACF5" w:rsidR="001F7DED" w:rsidRDefault="006A767E">
      <w:pPr>
        <w:numPr>
          <w:ilvl w:val="0"/>
          <w:numId w:val="1"/>
        </w:numPr>
        <w:spacing w:after="5" w:line="248" w:lineRule="auto"/>
        <w:ind w:hanging="360"/>
      </w:pPr>
      <w:r>
        <w:rPr>
          <w:sz w:val="20"/>
        </w:rPr>
        <w:t>S. Fadda, P. Tridico, "INSTITUTIONS AND ECONOMIC DEVELOPMENT AFTER THE FINANCIAL CRISIS", 2013</w:t>
      </w:r>
      <w:r>
        <w:t xml:space="preserve"> </w:t>
      </w:r>
    </w:p>
    <w:p w14:paraId="4F4F8A80" w14:textId="7D6E94CA" w:rsidR="001F7DED" w:rsidRDefault="006A767E">
      <w:pPr>
        <w:numPr>
          <w:ilvl w:val="0"/>
          <w:numId w:val="1"/>
        </w:numPr>
        <w:spacing w:after="5" w:line="248" w:lineRule="auto"/>
        <w:ind w:hanging="360"/>
      </w:pPr>
      <w:r>
        <w:rPr>
          <w:sz w:val="20"/>
        </w:rPr>
        <w:t xml:space="preserve">Afifah </w:t>
      </w:r>
      <w:proofErr w:type="spellStart"/>
      <w:r>
        <w:rPr>
          <w:sz w:val="20"/>
        </w:rPr>
        <w:t>Machlaurin</w:t>
      </w:r>
      <w:proofErr w:type="spellEnd"/>
      <w:r>
        <w:rPr>
          <w:sz w:val="20"/>
        </w:rPr>
        <w:t xml:space="preserve">, </w:t>
      </w:r>
      <w:proofErr w:type="spellStart"/>
      <w:r>
        <w:rPr>
          <w:sz w:val="20"/>
        </w:rPr>
        <w:t>J.Luttjeboer</w:t>
      </w:r>
      <w:proofErr w:type="spellEnd"/>
      <w:r>
        <w:rPr>
          <w:sz w:val="20"/>
        </w:rPr>
        <w:t xml:space="preserve">, D. Setiawan, </w:t>
      </w:r>
      <w:proofErr w:type="spellStart"/>
      <w:r>
        <w:rPr>
          <w:sz w:val="20"/>
        </w:rPr>
        <w:t>Tjipke</w:t>
      </w:r>
      <w:proofErr w:type="spellEnd"/>
      <w:r>
        <w:rPr>
          <w:sz w:val="20"/>
        </w:rPr>
        <w:t xml:space="preserve"> </w:t>
      </w:r>
      <w:proofErr w:type="spellStart"/>
      <w:r>
        <w:rPr>
          <w:sz w:val="20"/>
        </w:rPr>
        <w:t>Sytse</w:t>
      </w:r>
      <w:proofErr w:type="spellEnd"/>
      <w:r>
        <w:rPr>
          <w:sz w:val="20"/>
        </w:rPr>
        <w:t xml:space="preserve"> van der Werf, Marten Postma, "Non-restrictive open vial policy combined with the home visit vaccinations for improving BCG coverage in a high-incidence outreach region: A model-based cost-effectiveness analysis for Indonesia", 2023 </w:t>
      </w:r>
      <w:r>
        <w:t xml:space="preserve"> </w:t>
      </w:r>
    </w:p>
    <w:p w14:paraId="29CC6E17" w14:textId="227B0DC1" w:rsidR="001F7DED" w:rsidRDefault="006A767E">
      <w:pPr>
        <w:numPr>
          <w:ilvl w:val="0"/>
          <w:numId w:val="1"/>
        </w:numPr>
        <w:spacing w:after="5" w:line="248" w:lineRule="auto"/>
        <w:ind w:hanging="360"/>
      </w:pPr>
      <w:r>
        <w:rPr>
          <w:sz w:val="20"/>
        </w:rPr>
        <w:t xml:space="preserve">C. </w:t>
      </w:r>
      <w:proofErr w:type="spellStart"/>
      <w:r>
        <w:rPr>
          <w:sz w:val="20"/>
        </w:rPr>
        <w:t>Sauboin</w:t>
      </w:r>
      <w:proofErr w:type="spellEnd"/>
      <w:r>
        <w:rPr>
          <w:sz w:val="20"/>
        </w:rPr>
        <w:t xml:space="preserve">, L. Van </w:t>
      </w:r>
      <w:proofErr w:type="spellStart"/>
      <w:r>
        <w:rPr>
          <w:sz w:val="20"/>
        </w:rPr>
        <w:t>Bellinghen</w:t>
      </w:r>
      <w:proofErr w:type="spellEnd"/>
      <w:r>
        <w:rPr>
          <w:sz w:val="20"/>
        </w:rPr>
        <w:t xml:space="preserve">, N. Van de Velde, I. Van </w:t>
      </w:r>
      <w:proofErr w:type="spellStart"/>
      <w:r>
        <w:rPr>
          <w:sz w:val="20"/>
        </w:rPr>
        <w:t>Vlaenderen</w:t>
      </w:r>
      <w:proofErr w:type="spellEnd"/>
      <w:r>
        <w:rPr>
          <w:sz w:val="20"/>
        </w:rPr>
        <w:t>, "Economic Impact of Introducing the RTS,</w:t>
      </w:r>
      <w:r w:rsidR="00541765">
        <w:rPr>
          <w:sz w:val="20"/>
        </w:rPr>
        <w:t xml:space="preserve"> </w:t>
      </w:r>
      <w:r>
        <w:rPr>
          <w:sz w:val="20"/>
        </w:rPr>
        <w:t xml:space="preserve">S Malaria Vaccine: Cost-Effectiveness and Budget Impact Analysis in 41 Countries", 2019   </w:t>
      </w:r>
      <w:r>
        <w:t xml:space="preserve"> </w:t>
      </w:r>
    </w:p>
    <w:p w14:paraId="22A84066" w14:textId="77777777" w:rsidR="001F7DED" w:rsidRDefault="006A767E">
      <w:pPr>
        <w:numPr>
          <w:ilvl w:val="0"/>
          <w:numId w:val="1"/>
        </w:numPr>
        <w:spacing w:after="5" w:line="248" w:lineRule="auto"/>
        <w:ind w:hanging="360"/>
      </w:pPr>
      <w:r>
        <w:rPr>
          <w:sz w:val="20"/>
        </w:rPr>
        <w:t xml:space="preserve">John F. Cryan, Kenneth J. O’Riordan, Caitlin S.M. Cowan, Kiran V. Sandhu, Thomaz F. S. </w:t>
      </w:r>
      <w:proofErr w:type="spellStart"/>
      <w:r>
        <w:rPr>
          <w:sz w:val="20"/>
        </w:rPr>
        <w:t>Bastiaanssen</w:t>
      </w:r>
      <w:proofErr w:type="spellEnd"/>
      <w:r>
        <w:rPr>
          <w:sz w:val="20"/>
        </w:rPr>
        <w:t xml:space="preserve">, Marcus Boehme, Martin G. </w:t>
      </w:r>
      <w:proofErr w:type="spellStart"/>
      <w:r>
        <w:rPr>
          <w:sz w:val="20"/>
        </w:rPr>
        <w:t>Codagnone</w:t>
      </w:r>
      <w:proofErr w:type="spellEnd"/>
      <w:r>
        <w:rPr>
          <w:sz w:val="20"/>
        </w:rPr>
        <w:t xml:space="preserve">, Sofia </w:t>
      </w:r>
      <w:proofErr w:type="spellStart"/>
      <w:r>
        <w:rPr>
          <w:sz w:val="20"/>
        </w:rPr>
        <w:t>Cussotto</w:t>
      </w:r>
      <w:proofErr w:type="spellEnd"/>
      <w:r>
        <w:rPr>
          <w:sz w:val="20"/>
        </w:rPr>
        <w:t xml:space="preserve">, Christine </w:t>
      </w:r>
      <w:proofErr w:type="spellStart"/>
      <w:r>
        <w:rPr>
          <w:sz w:val="20"/>
        </w:rPr>
        <w:t>Fülling</w:t>
      </w:r>
      <w:proofErr w:type="spellEnd"/>
      <w:r>
        <w:rPr>
          <w:sz w:val="20"/>
        </w:rPr>
        <w:t xml:space="preserve">, Anna V. Golubeva, Katherine E. Guzzetta, Minal </w:t>
      </w:r>
      <w:r>
        <w:t xml:space="preserve"> </w:t>
      </w:r>
    </w:p>
    <w:p w14:paraId="2BBB4CF1" w14:textId="77777777" w:rsidR="001F7DED" w:rsidRDefault="006A767E">
      <w:pPr>
        <w:spacing w:after="5" w:line="248" w:lineRule="auto"/>
        <w:ind w:left="795" w:firstLine="0"/>
      </w:pPr>
      <w:r>
        <w:rPr>
          <w:sz w:val="20"/>
        </w:rPr>
        <w:t xml:space="preserve">Jaggar, Caitríona M. Long-Smith, Joshua M. Lyte, Jason Martin, Alicia Molinero-Perez, Gerard Moloney, Emanuela </w:t>
      </w:r>
      <w:r>
        <w:t xml:space="preserve"> </w:t>
      </w:r>
    </w:p>
    <w:p w14:paraId="4B8382C1" w14:textId="50919E31" w:rsidR="001F7DED" w:rsidRDefault="006A767E">
      <w:pPr>
        <w:spacing w:after="25" w:line="248" w:lineRule="auto"/>
        <w:ind w:left="795" w:firstLine="0"/>
      </w:pPr>
      <w:r>
        <w:rPr>
          <w:sz w:val="20"/>
        </w:rPr>
        <w:t xml:space="preserve">Morelli, Enrique Morillas, Rory O’Connor, Joana S. Cruz-Pereira, Veronica L. Peterson, Kieran Rea, Nathaniel L. </w:t>
      </w:r>
      <w:proofErr w:type="spellStart"/>
      <w:proofErr w:type="gramStart"/>
      <w:r>
        <w:rPr>
          <w:sz w:val="20"/>
        </w:rPr>
        <w:t>Ritz,Eoin</w:t>
      </w:r>
      <w:proofErr w:type="spellEnd"/>
      <w:proofErr w:type="gramEnd"/>
      <w:r>
        <w:rPr>
          <w:sz w:val="20"/>
        </w:rPr>
        <w:t xml:space="preserve"> Sherwin, Simon </w:t>
      </w:r>
      <w:proofErr w:type="spellStart"/>
      <w:r>
        <w:rPr>
          <w:sz w:val="20"/>
        </w:rPr>
        <w:t>Spichak</w:t>
      </w:r>
      <w:proofErr w:type="spellEnd"/>
      <w:r>
        <w:rPr>
          <w:sz w:val="20"/>
        </w:rPr>
        <w:t xml:space="preserve">, Emily M. Teichman, Marcel van de </w:t>
      </w:r>
      <w:proofErr w:type="spellStart"/>
      <w:r>
        <w:rPr>
          <w:sz w:val="20"/>
        </w:rPr>
        <w:t>Wouw</w:t>
      </w:r>
      <w:proofErr w:type="spellEnd"/>
      <w:r>
        <w:rPr>
          <w:sz w:val="20"/>
        </w:rPr>
        <w:t>, Ana Paula Ventura‐Silva, Shauna E. Wallace-</w:t>
      </w:r>
      <w:r>
        <w:t xml:space="preserve"> </w:t>
      </w:r>
    </w:p>
    <w:p w14:paraId="0F3C11B7" w14:textId="65CB66AC" w:rsidR="001F7DED" w:rsidRDefault="006A767E">
      <w:pPr>
        <w:spacing w:after="5" w:line="248" w:lineRule="auto"/>
        <w:ind w:left="805" w:hanging="10"/>
      </w:pPr>
      <w:r>
        <w:rPr>
          <w:sz w:val="20"/>
        </w:rPr>
        <w:t xml:space="preserve">Fitzsimons, Niall P. Hyland, Gerard Clarke, Timothy G. Dinan, "The Microbiota-Gut-Brain Axis", 2019, </w:t>
      </w:r>
      <w:hyperlink r:id="rId6">
        <w:r>
          <w:rPr>
            <w:sz w:val="20"/>
          </w:rPr>
          <w:t>.</w:t>
        </w:r>
      </w:hyperlink>
      <w:hyperlink r:id="rId7">
        <w:r>
          <w:rPr>
            <w:sz w:val="20"/>
          </w:rPr>
          <w:t xml:space="preserve"> </w:t>
        </w:r>
      </w:hyperlink>
      <w:r>
        <w:rPr>
          <w:sz w:val="20"/>
        </w:rPr>
        <w:t xml:space="preserve">pp 1877-2013 </w:t>
      </w:r>
      <w:r>
        <w:t xml:space="preserve"> </w:t>
      </w:r>
    </w:p>
    <w:p w14:paraId="0E8046AA" w14:textId="472ED237" w:rsidR="001F7DED" w:rsidRDefault="006A767E">
      <w:pPr>
        <w:numPr>
          <w:ilvl w:val="0"/>
          <w:numId w:val="1"/>
        </w:numPr>
        <w:spacing w:after="5" w:line="248" w:lineRule="auto"/>
        <w:ind w:hanging="360"/>
      </w:pPr>
      <w:r>
        <w:rPr>
          <w:sz w:val="20"/>
        </w:rPr>
        <w:t xml:space="preserve">Frédéric B. Piel, Martin H. Steinberg, David C. Rees, "Sickle Cell Disease", 2017, </w:t>
      </w:r>
      <w:hyperlink r:id="rId8">
        <w:r>
          <w:rPr>
            <w:sz w:val="20"/>
          </w:rPr>
          <w:t xml:space="preserve">  </w:t>
        </w:r>
      </w:hyperlink>
      <w:r>
        <w:rPr>
          <w:sz w:val="20"/>
        </w:rPr>
        <w:t xml:space="preserve">pp. 1561-1573 </w:t>
      </w:r>
      <w:r>
        <w:t xml:space="preserve"> </w:t>
      </w:r>
    </w:p>
    <w:p w14:paraId="6A23AF89" w14:textId="77777777" w:rsidR="001F7DED" w:rsidRDefault="006A767E">
      <w:pPr>
        <w:numPr>
          <w:ilvl w:val="0"/>
          <w:numId w:val="1"/>
        </w:numPr>
        <w:spacing w:after="5" w:line="248" w:lineRule="auto"/>
        <w:ind w:hanging="360"/>
      </w:pPr>
      <w:r>
        <w:rPr>
          <w:sz w:val="20"/>
        </w:rPr>
        <w:t xml:space="preserve">Katja Kokko, Päivi </w:t>
      </w:r>
      <w:proofErr w:type="spellStart"/>
      <w:r>
        <w:rPr>
          <w:sz w:val="20"/>
        </w:rPr>
        <w:t>Fadjukoff</w:t>
      </w:r>
      <w:proofErr w:type="spellEnd"/>
      <w:r>
        <w:rPr>
          <w:sz w:val="20"/>
        </w:rPr>
        <w:t xml:space="preserve">, Emmi </w:t>
      </w:r>
      <w:proofErr w:type="spellStart"/>
      <w:r>
        <w:rPr>
          <w:sz w:val="20"/>
        </w:rPr>
        <w:t>Reinilä</w:t>
      </w:r>
      <w:proofErr w:type="spellEnd"/>
      <w:r>
        <w:rPr>
          <w:sz w:val="20"/>
        </w:rPr>
        <w:t xml:space="preserve">, Johanna Ahola, Marja-Liisa Kinnunen, Jane Kroger, E. Laakkonen, Tuuli Pitkänen, Lea Pulkkinen, </w:t>
      </w:r>
      <w:proofErr w:type="spellStart"/>
      <w:r>
        <w:rPr>
          <w:sz w:val="20"/>
        </w:rPr>
        <w:t>Taina</w:t>
      </w:r>
      <w:proofErr w:type="spellEnd"/>
      <w:r>
        <w:rPr>
          <w:sz w:val="20"/>
        </w:rPr>
        <w:t xml:space="preserve"> Rantanen, U. Staudinger, S. Taipale, T. </w:t>
      </w:r>
      <w:proofErr w:type="spellStart"/>
      <w:r>
        <w:rPr>
          <w:sz w:val="20"/>
        </w:rPr>
        <w:t>Tormakangas</w:t>
      </w:r>
      <w:proofErr w:type="spellEnd"/>
      <w:r>
        <w:rPr>
          <w:sz w:val="20"/>
        </w:rPr>
        <w:t xml:space="preserve">, Tiia Kekäläinen, Milla </w:t>
      </w:r>
      <w:proofErr w:type="spellStart"/>
      <w:r>
        <w:rPr>
          <w:sz w:val="20"/>
        </w:rPr>
        <w:t>Saajanaho</w:t>
      </w:r>
      <w:proofErr w:type="spellEnd"/>
      <w:r>
        <w:rPr>
          <w:sz w:val="20"/>
        </w:rPr>
        <w:t xml:space="preserve">, "Developmental Perspectives on Transitions at Age 60: Individuals Navigating Across the Lifespan (TRAILS) – latest data collection in a longitudinal JYLS study", 2024 </w:t>
      </w:r>
      <w:r>
        <w:t xml:space="preserve"> </w:t>
      </w:r>
    </w:p>
    <w:p w14:paraId="2FB2D35B" w14:textId="6A4359E0" w:rsidR="001F7DED" w:rsidRDefault="006A767E">
      <w:pPr>
        <w:numPr>
          <w:ilvl w:val="0"/>
          <w:numId w:val="1"/>
        </w:numPr>
        <w:spacing w:after="5" w:line="248" w:lineRule="auto"/>
        <w:ind w:hanging="360"/>
      </w:pPr>
      <w:r>
        <w:rPr>
          <w:sz w:val="20"/>
        </w:rPr>
        <w:t>Francesca Morganti, "Longevity as a Responsibility: Constructing Healthy Aging by Enacting within Contexts over the Entire Lifespan", 2024</w:t>
      </w:r>
      <w:r>
        <w:t xml:space="preserve"> </w:t>
      </w:r>
    </w:p>
    <w:p w14:paraId="7A630AB8" w14:textId="1E69A3A3" w:rsidR="001F7DED" w:rsidRDefault="006A767E">
      <w:pPr>
        <w:numPr>
          <w:ilvl w:val="0"/>
          <w:numId w:val="1"/>
        </w:numPr>
        <w:spacing w:after="5" w:line="248" w:lineRule="auto"/>
        <w:ind w:hanging="360"/>
      </w:pPr>
      <w:r>
        <w:rPr>
          <w:sz w:val="20"/>
        </w:rPr>
        <w:t>Erin E. Neil, Elizabeth K. Bisaccia, "</w:t>
      </w:r>
      <w:proofErr w:type="spellStart"/>
      <w:r>
        <w:rPr>
          <w:sz w:val="20"/>
        </w:rPr>
        <w:t>Nusinersen</w:t>
      </w:r>
      <w:proofErr w:type="spellEnd"/>
      <w:r>
        <w:rPr>
          <w:sz w:val="20"/>
        </w:rPr>
        <w:t>: A Novel Antisense Oligonucleotide for the Treatment of Spinal Muscular Atrophy", 2019, pp. 194-203</w:t>
      </w:r>
      <w:hyperlink r:id="rId9">
        <w:r>
          <w:rPr>
            <w:sz w:val="20"/>
          </w:rPr>
          <w:t xml:space="preserve"> </w:t>
        </w:r>
      </w:hyperlink>
      <w:r>
        <w:t xml:space="preserve"> </w:t>
      </w:r>
    </w:p>
    <w:p w14:paraId="295B8F59" w14:textId="2E0D8253" w:rsidR="001F7DED" w:rsidRDefault="006A767E" w:rsidP="00212AB9">
      <w:pPr>
        <w:numPr>
          <w:ilvl w:val="0"/>
          <w:numId w:val="1"/>
        </w:numPr>
        <w:spacing w:after="5" w:line="248" w:lineRule="auto"/>
        <w:ind w:hanging="360"/>
      </w:pPr>
      <w:r>
        <w:rPr>
          <w:sz w:val="20"/>
        </w:rPr>
        <w:t xml:space="preserve">Sam E. Gary, Emory Ryan, Alta Steward, Ellen Sidransky, "Recent advances in the diagnosis and management of </w:t>
      </w:r>
      <w:r w:rsidRPr="00212AB9">
        <w:rPr>
          <w:sz w:val="20"/>
        </w:rPr>
        <w:t>Gaucher disease", 2018, pp. 107-118</w:t>
      </w:r>
      <w:r w:rsidR="00212AB9">
        <w:rPr>
          <w:sz w:val="20"/>
        </w:rPr>
        <w:t>.</w:t>
      </w:r>
    </w:p>
    <w:sectPr w:rsidR="001F7DED" w:rsidSect="00C704DF">
      <w:pgSz w:w="11906" w:h="16838" w:code="9"/>
      <w:pgMar w:top="739" w:right="726" w:bottom="1252" w:left="64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F74"/>
    <w:multiLevelType w:val="hybridMultilevel"/>
    <w:tmpl w:val="F886D0FA"/>
    <w:lvl w:ilvl="0" w:tplc="FFFFFFFF">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FE4B66"/>
    <w:multiLevelType w:val="hybridMultilevel"/>
    <w:tmpl w:val="A9CC9922"/>
    <w:lvl w:ilvl="0" w:tplc="FFFFFFFF">
      <w:start w:val="1"/>
      <w:numFmt w:val="upperRoman"/>
      <w:pStyle w:val="Heading1"/>
      <w:lvlText w:val="%1."/>
      <w:lvlJc w:val="left"/>
      <w:pPr>
        <w:ind w:left="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abstractNum>
  <w:abstractNum w:abstractNumId="2" w15:restartNumberingAfterBreak="0">
    <w:nsid w:val="70DB4409"/>
    <w:multiLevelType w:val="multilevel"/>
    <w:tmpl w:val="04090029"/>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77C17FBD"/>
    <w:multiLevelType w:val="hybridMultilevel"/>
    <w:tmpl w:val="6F322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ED"/>
    <w:rsid w:val="000F4AFB"/>
    <w:rsid w:val="001F7DED"/>
    <w:rsid w:val="00212AB9"/>
    <w:rsid w:val="002340FE"/>
    <w:rsid w:val="00541765"/>
    <w:rsid w:val="006132AB"/>
    <w:rsid w:val="006A767E"/>
    <w:rsid w:val="00747044"/>
    <w:rsid w:val="00C704DF"/>
    <w:rsid w:val="00D92573"/>
    <w:rsid w:val="00E4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4F46"/>
  <w15:docId w15:val="{3C8AFDE2-DD46-430E-8DDE-AFF8D02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9" w:line="240" w:lineRule="auto"/>
      <w:ind w:left="14" w:firstLine="16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
      </w:numPr>
      <w:spacing w:after="3" w:line="254" w:lineRule="auto"/>
      <w:ind w:left="10" w:hanging="10"/>
      <w:outlineLvl w:val="0"/>
    </w:pPr>
    <w:rPr>
      <w:rFonts w:ascii="Times New Roman" w:eastAsia="Times New Roman" w:hAnsi="Times New Roman" w:cs="Times New Roman"/>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E74B5"/>
      <w:sz w:val="32"/>
    </w:rPr>
  </w:style>
  <w:style w:type="paragraph" w:styleId="ListParagraph">
    <w:name w:val="List Paragraph"/>
    <w:basedOn w:val="Normal"/>
    <w:uiPriority w:val="34"/>
    <w:qFormat/>
    <w:rsid w:val="00541765"/>
    <w:pPr>
      <w:ind w:left="720"/>
      <w:contextualSpacing/>
    </w:pPr>
  </w:style>
  <w:style w:type="paragraph" w:styleId="NormalWeb">
    <w:name w:val="Normal (Web)"/>
    <w:basedOn w:val="Normal"/>
    <w:uiPriority w:val="99"/>
    <w:semiHidden/>
    <w:unhideWhenUsed/>
    <w:rsid w:val="006132AB"/>
    <w:pPr>
      <w:spacing w:before="100" w:beforeAutospacing="1" w:after="100" w:afterAutospacing="1"/>
      <w:ind w:left="0" w:firstLine="0"/>
    </w:pPr>
    <w:rPr>
      <w:color w:val="auto"/>
      <w:szCs w:val="24"/>
    </w:rPr>
  </w:style>
  <w:style w:type="character" w:styleId="Strong">
    <w:name w:val="Strong"/>
    <w:basedOn w:val="DefaultParagraphFont"/>
    <w:uiPriority w:val="22"/>
    <w:qFormat/>
    <w:rsid w:val="00613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87667">
      <w:bodyDiv w:val="1"/>
      <w:marLeft w:val="0"/>
      <w:marRight w:val="0"/>
      <w:marTop w:val="0"/>
      <w:marBottom w:val="0"/>
      <w:divBdr>
        <w:top w:val="none" w:sz="0" w:space="0" w:color="auto"/>
        <w:left w:val="none" w:sz="0" w:space="0" w:color="auto"/>
        <w:bottom w:val="none" w:sz="0" w:space="0" w:color="auto"/>
        <w:right w:val="none" w:sz="0" w:space="0" w:color="auto"/>
      </w:divBdr>
      <w:divsChild>
        <w:div w:id="2057658973">
          <w:marLeft w:val="0"/>
          <w:marRight w:val="0"/>
          <w:marTop w:val="0"/>
          <w:marBottom w:val="0"/>
          <w:divBdr>
            <w:top w:val="none" w:sz="0" w:space="0" w:color="auto"/>
            <w:left w:val="none" w:sz="0" w:space="0" w:color="auto"/>
            <w:bottom w:val="none" w:sz="0" w:space="0" w:color="auto"/>
            <w:right w:val="none" w:sz="0" w:space="0" w:color="auto"/>
          </w:divBdr>
          <w:divsChild>
            <w:div w:id="1093550578">
              <w:marLeft w:val="0"/>
              <w:marRight w:val="0"/>
              <w:marTop w:val="0"/>
              <w:marBottom w:val="0"/>
              <w:divBdr>
                <w:top w:val="none" w:sz="0" w:space="0" w:color="auto"/>
                <w:left w:val="none" w:sz="0" w:space="0" w:color="auto"/>
                <w:bottom w:val="none" w:sz="0" w:space="0" w:color="auto"/>
                <w:right w:val="none" w:sz="0" w:space="0" w:color="auto"/>
              </w:divBdr>
              <w:divsChild>
                <w:div w:id="1966349345">
                  <w:marLeft w:val="0"/>
                  <w:marRight w:val="0"/>
                  <w:marTop w:val="0"/>
                  <w:marBottom w:val="0"/>
                  <w:divBdr>
                    <w:top w:val="none" w:sz="0" w:space="0" w:color="auto"/>
                    <w:left w:val="none" w:sz="0" w:space="0" w:color="auto"/>
                    <w:bottom w:val="none" w:sz="0" w:space="0" w:color="auto"/>
                    <w:right w:val="none" w:sz="0" w:space="0" w:color="auto"/>
                  </w:divBdr>
                  <w:divsChild>
                    <w:div w:id="18700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3228">
      <w:bodyDiv w:val="1"/>
      <w:marLeft w:val="0"/>
      <w:marRight w:val="0"/>
      <w:marTop w:val="0"/>
      <w:marBottom w:val="0"/>
      <w:divBdr>
        <w:top w:val="none" w:sz="0" w:space="0" w:color="auto"/>
        <w:left w:val="none" w:sz="0" w:space="0" w:color="auto"/>
        <w:bottom w:val="none" w:sz="0" w:space="0" w:color="auto"/>
        <w:right w:val="none" w:sz="0" w:space="0" w:color="auto"/>
      </w:divBdr>
      <w:divsChild>
        <w:div w:id="481895735">
          <w:marLeft w:val="0"/>
          <w:marRight w:val="0"/>
          <w:marTop w:val="0"/>
          <w:marBottom w:val="0"/>
          <w:divBdr>
            <w:top w:val="none" w:sz="0" w:space="0" w:color="auto"/>
            <w:left w:val="none" w:sz="0" w:space="0" w:color="auto"/>
            <w:bottom w:val="none" w:sz="0" w:space="0" w:color="auto"/>
            <w:right w:val="none" w:sz="0" w:space="0" w:color="auto"/>
          </w:divBdr>
          <w:divsChild>
            <w:div w:id="1141728701">
              <w:marLeft w:val="0"/>
              <w:marRight w:val="0"/>
              <w:marTop w:val="0"/>
              <w:marBottom w:val="0"/>
              <w:divBdr>
                <w:top w:val="none" w:sz="0" w:space="0" w:color="auto"/>
                <w:left w:val="none" w:sz="0" w:space="0" w:color="auto"/>
                <w:bottom w:val="none" w:sz="0" w:space="0" w:color="auto"/>
                <w:right w:val="none" w:sz="0" w:space="0" w:color="auto"/>
              </w:divBdr>
              <w:divsChild>
                <w:div w:id="2139716208">
                  <w:marLeft w:val="0"/>
                  <w:marRight w:val="0"/>
                  <w:marTop w:val="0"/>
                  <w:marBottom w:val="0"/>
                  <w:divBdr>
                    <w:top w:val="none" w:sz="0" w:space="0" w:color="auto"/>
                    <w:left w:val="none" w:sz="0" w:space="0" w:color="auto"/>
                    <w:bottom w:val="none" w:sz="0" w:space="0" w:color="auto"/>
                    <w:right w:val="none" w:sz="0" w:space="0" w:color="auto"/>
                  </w:divBdr>
                  <w:divsChild>
                    <w:div w:id="9623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2323">
      <w:bodyDiv w:val="1"/>
      <w:marLeft w:val="0"/>
      <w:marRight w:val="0"/>
      <w:marTop w:val="0"/>
      <w:marBottom w:val="0"/>
      <w:divBdr>
        <w:top w:val="none" w:sz="0" w:space="0" w:color="auto"/>
        <w:left w:val="none" w:sz="0" w:space="0" w:color="auto"/>
        <w:bottom w:val="none" w:sz="0" w:space="0" w:color="auto"/>
        <w:right w:val="none" w:sz="0" w:space="0" w:color="auto"/>
      </w:divBdr>
    </w:div>
    <w:div w:id="19071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3b9b5f798bd2898f56dbe139021be63ead00e9b6" TargetMode="External"/><Relationship Id="rId3" Type="http://schemas.openxmlformats.org/officeDocument/2006/relationships/styles" Target="styles.xml"/><Relationship Id="rId7" Type="http://schemas.openxmlformats.org/officeDocument/2006/relationships/hyperlink" Target="https://doi.org/10.1152/physrev.00018.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52/physrev.00018.201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863/1551-6776-24.3.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10EB-E19D-4246-B2A8-09181CD9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LENOVO</cp:lastModifiedBy>
  <cp:revision>5</cp:revision>
  <dcterms:created xsi:type="dcterms:W3CDTF">2024-12-20T14:12:00Z</dcterms:created>
  <dcterms:modified xsi:type="dcterms:W3CDTF">2024-12-20T15:14:00Z</dcterms:modified>
</cp:coreProperties>
</file>